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63BE861A" w:rsidR="00A51850" w:rsidRPr="002D03D4" w:rsidRDefault="00A51850" w:rsidP="00F252BD">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2D03D4" w14:paraId="2F4A2BAF" w14:textId="77777777" w:rsidTr="002D03D4">
            <w:tc>
              <w:tcPr>
                <w:tcW w:w="7631" w:type="dxa"/>
                <w:tcMar>
                  <w:top w:w="216" w:type="dxa"/>
                  <w:left w:w="115" w:type="dxa"/>
                  <w:bottom w:w="216" w:type="dxa"/>
                  <w:right w:w="115" w:type="dxa"/>
                </w:tcMar>
              </w:tcPr>
              <w:p w14:paraId="7261DC37" w14:textId="6615CEB2" w:rsidR="00A51850" w:rsidRPr="002D03D4" w:rsidRDefault="00A51850" w:rsidP="00F252BD">
                <w:pPr>
                  <w:pStyle w:val="NoSpacing"/>
                  <w:bidi/>
                  <w:spacing w:line="360" w:lineRule="auto"/>
                  <w:rPr>
                    <w:rFonts w:ascii="Sakkal Majalla" w:hAnsi="Sakkal Majalla" w:cs="Sakkal Majalla"/>
                    <w:color w:val="2E74B5" w:themeColor="accent1" w:themeShade="BF"/>
                    <w:sz w:val="24"/>
                    <w:lang w:bidi="ar-JO"/>
                  </w:rPr>
                </w:pPr>
              </w:p>
            </w:tc>
          </w:tr>
          <w:tr w:rsidR="00A51850" w:rsidRPr="002D03D4" w14:paraId="39C88476" w14:textId="77777777" w:rsidTr="002D03D4">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39A509AA" w:rsidR="00A51850" w:rsidRPr="002D03D4" w:rsidRDefault="009B7529" w:rsidP="00F252BD">
                    <w:pPr>
                      <w:pStyle w:val="NoSpacing"/>
                      <w:bidi/>
                      <w:rPr>
                        <w:rFonts w:ascii="Sakkal Majalla" w:eastAsiaTheme="majorEastAsia" w:hAnsi="Sakkal Majalla" w:cs="Sakkal Majalla"/>
                        <w:color w:val="5B9BD5" w:themeColor="accent1"/>
                        <w:sz w:val="80"/>
                        <w:szCs w:val="80"/>
                        <w:lang w:bidi="ar-JO"/>
                      </w:rPr>
                    </w:pPr>
                    <w:r w:rsidRPr="002D03D4">
                      <w:rPr>
                        <w:rFonts w:ascii="Sakkal Majalla" w:eastAsiaTheme="majorEastAsia" w:hAnsi="Sakkal Majalla" w:cs="Sakkal Majalla"/>
                        <w:color w:val="5B9BD5" w:themeColor="accent1"/>
                        <w:sz w:val="80"/>
                        <w:szCs w:val="80"/>
                        <w:rtl/>
                        <w:lang w:bidi="ar-JO"/>
                      </w:rPr>
                      <w:t>سياسة المساواة في فرص التوظيف</w:t>
                    </w:r>
                  </w:p>
                </w:sdtContent>
              </w:sdt>
            </w:tc>
          </w:tr>
        </w:tbl>
        <w:p w14:paraId="3626397F" w14:textId="1FD3471F" w:rsidR="00A51850" w:rsidRPr="002D03D4" w:rsidRDefault="00000000" w:rsidP="00F252BD">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181C8C50" w:rsidR="00DC78D4" w:rsidRPr="002D03D4" w:rsidRDefault="003F7DB5" w:rsidP="00F252BD">
      <w:pPr>
        <w:jc w:val="left"/>
        <w:rPr>
          <w:rFonts w:ascii="Sakkal Majalla" w:eastAsiaTheme="majorEastAsia" w:hAnsi="Sakkal Majalla" w:cs="Sakkal Majalla"/>
          <w:color w:val="2E74B5" w:themeColor="accent1" w:themeShade="BF"/>
          <w:sz w:val="23"/>
          <w:szCs w:val="23"/>
        </w:rPr>
      </w:pPr>
      <w:r w:rsidRPr="002D03D4">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2D03D4" w:rsidRDefault="00277D72" w:rsidP="00F252BD">
          <w:pPr>
            <w:jc w:val="left"/>
            <w:rPr>
              <w:rFonts w:ascii="Sakkal Majalla" w:eastAsiaTheme="majorEastAsia" w:hAnsi="Sakkal Majalla" w:cs="Sakkal Majalla"/>
              <w:color w:val="2E74B5" w:themeColor="accent1" w:themeShade="BF"/>
              <w:sz w:val="22"/>
              <w:szCs w:val="22"/>
            </w:rPr>
          </w:pPr>
          <w:r w:rsidRPr="002D03D4">
            <w:rPr>
              <w:rFonts w:ascii="Sakkal Majalla" w:eastAsiaTheme="majorEastAsia" w:hAnsi="Sakkal Majalla" w:cs="Sakkal Majalla"/>
              <w:color w:val="2E74B5" w:themeColor="accent1" w:themeShade="BF"/>
              <w:sz w:val="22"/>
              <w:szCs w:val="22"/>
              <w:rtl/>
            </w:rPr>
            <w:t>قائمة المحتويات</w:t>
          </w:r>
        </w:p>
        <w:p w14:paraId="7A5CA74A" w14:textId="66324AC2" w:rsidR="00F252BD" w:rsidRPr="002D03D4" w:rsidRDefault="00277D72" w:rsidP="00F252BD">
          <w:pPr>
            <w:pStyle w:val="TOC2"/>
            <w:tabs>
              <w:tab w:val="right" w:leader="dot" w:pos="9350"/>
            </w:tabs>
            <w:bidi/>
            <w:rPr>
              <w:rFonts w:ascii="Sakkal Majalla" w:eastAsiaTheme="minorEastAsia" w:hAnsi="Sakkal Majalla" w:cs="Sakkal Majalla"/>
              <w:smallCaps w:val="0"/>
              <w:noProof/>
              <w:sz w:val="22"/>
              <w:szCs w:val="22"/>
              <w:lang w:bidi="ar-SA"/>
            </w:rPr>
          </w:pPr>
          <w:r w:rsidRPr="002D03D4">
            <w:rPr>
              <w:rFonts w:ascii="Sakkal Majalla" w:hAnsi="Sakkal Majalla" w:cs="Sakkal Majalla"/>
              <w:sz w:val="22"/>
              <w:szCs w:val="22"/>
            </w:rPr>
            <w:fldChar w:fldCharType="begin"/>
          </w:r>
          <w:r w:rsidRPr="002D03D4">
            <w:rPr>
              <w:rFonts w:ascii="Sakkal Majalla" w:hAnsi="Sakkal Majalla" w:cs="Sakkal Majalla"/>
              <w:sz w:val="22"/>
              <w:szCs w:val="22"/>
            </w:rPr>
            <w:instrText xml:space="preserve"> TOC \o "1-3" \h \z \u </w:instrText>
          </w:r>
          <w:r w:rsidRPr="002D03D4">
            <w:rPr>
              <w:rFonts w:ascii="Sakkal Majalla" w:hAnsi="Sakkal Majalla" w:cs="Sakkal Majalla"/>
              <w:sz w:val="22"/>
              <w:szCs w:val="22"/>
            </w:rPr>
            <w:fldChar w:fldCharType="separate"/>
          </w:r>
          <w:hyperlink w:anchor="_Toc177250974" w:history="1">
            <w:r w:rsidR="00F252BD" w:rsidRPr="002D03D4">
              <w:rPr>
                <w:rStyle w:val="Hyperlink"/>
                <w:rFonts w:ascii="Sakkal Majalla" w:hAnsi="Sakkal Majalla" w:cs="Sakkal Majalla"/>
                <w:noProof/>
                <w:rtl/>
              </w:rPr>
              <w:t>المقدمة</w:t>
            </w:r>
            <w:r w:rsidR="00F252BD" w:rsidRPr="002D03D4">
              <w:rPr>
                <w:rFonts w:ascii="Sakkal Majalla" w:hAnsi="Sakkal Majalla" w:cs="Sakkal Majalla"/>
                <w:noProof/>
                <w:webHidden/>
              </w:rPr>
              <w:tab/>
            </w:r>
            <w:r w:rsidR="00F252BD" w:rsidRPr="002D03D4">
              <w:rPr>
                <w:rFonts w:ascii="Sakkal Majalla" w:hAnsi="Sakkal Majalla" w:cs="Sakkal Majalla"/>
                <w:noProof/>
                <w:webHidden/>
              </w:rPr>
              <w:fldChar w:fldCharType="begin"/>
            </w:r>
            <w:r w:rsidR="00F252BD" w:rsidRPr="002D03D4">
              <w:rPr>
                <w:rFonts w:ascii="Sakkal Majalla" w:hAnsi="Sakkal Majalla" w:cs="Sakkal Majalla"/>
                <w:noProof/>
                <w:webHidden/>
              </w:rPr>
              <w:instrText xml:space="preserve"> PAGEREF _Toc177250974 \h </w:instrText>
            </w:r>
            <w:r w:rsidR="00F252BD" w:rsidRPr="002D03D4">
              <w:rPr>
                <w:rFonts w:ascii="Sakkal Majalla" w:hAnsi="Sakkal Majalla" w:cs="Sakkal Majalla"/>
                <w:noProof/>
                <w:webHidden/>
              </w:rPr>
            </w:r>
            <w:r w:rsidR="00F252BD" w:rsidRPr="002D03D4">
              <w:rPr>
                <w:rFonts w:ascii="Sakkal Majalla" w:hAnsi="Sakkal Majalla" w:cs="Sakkal Majalla"/>
                <w:noProof/>
                <w:webHidden/>
              </w:rPr>
              <w:fldChar w:fldCharType="separate"/>
            </w:r>
            <w:r w:rsidR="00F252BD" w:rsidRPr="002D03D4">
              <w:rPr>
                <w:rFonts w:ascii="Sakkal Majalla" w:hAnsi="Sakkal Majalla" w:cs="Sakkal Majalla"/>
                <w:noProof/>
                <w:webHidden/>
              </w:rPr>
              <w:t>3</w:t>
            </w:r>
            <w:r w:rsidR="00F252BD" w:rsidRPr="002D03D4">
              <w:rPr>
                <w:rFonts w:ascii="Sakkal Majalla" w:hAnsi="Sakkal Majalla" w:cs="Sakkal Majalla"/>
                <w:noProof/>
                <w:webHidden/>
              </w:rPr>
              <w:fldChar w:fldCharType="end"/>
            </w:r>
          </w:hyperlink>
        </w:p>
        <w:p w14:paraId="4F8AB319" w14:textId="239AD2C3" w:rsidR="00F252BD" w:rsidRPr="002D03D4" w:rsidRDefault="00000000" w:rsidP="00F252BD">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0975" w:history="1">
            <w:r w:rsidR="00F252BD" w:rsidRPr="002D03D4">
              <w:rPr>
                <w:rStyle w:val="Hyperlink"/>
                <w:rFonts w:ascii="Sakkal Majalla" w:eastAsia="Times New Roman" w:hAnsi="Sakkal Majalla" w:cs="Sakkal Majalla"/>
                <w:noProof/>
                <w:rtl/>
              </w:rPr>
              <w:t>أهداف السياسة</w:t>
            </w:r>
            <w:r w:rsidR="00F252BD" w:rsidRPr="002D03D4">
              <w:rPr>
                <w:rFonts w:ascii="Sakkal Majalla" w:hAnsi="Sakkal Majalla" w:cs="Sakkal Majalla"/>
                <w:noProof/>
                <w:webHidden/>
              </w:rPr>
              <w:tab/>
            </w:r>
            <w:r w:rsidR="00F252BD" w:rsidRPr="002D03D4">
              <w:rPr>
                <w:rFonts w:ascii="Sakkal Majalla" w:hAnsi="Sakkal Majalla" w:cs="Sakkal Majalla"/>
                <w:noProof/>
                <w:webHidden/>
              </w:rPr>
              <w:fldChar w:fldCharType="begin"/>
            </w:r>
            <w:r w:rsidR="00F252BD" w:rsidRPr="002D03D4">
              <w:rPr>
                <w:rFonts w:ascii="Sakkal Majalla" w:hAnsi="Sakkal Majalla" w:cs="Sakkal Majalla"/>
                <w:noProof/>
                <w:webHidden/>
              </w:rPr>
              <w:instrText xml:space="preserve"> PAGEREF _Toc177250975 \h </w:instrText>
            </w:r>
            <w:r w:rsidR="00F252BD" w:rsidRPr="002D03D4">
              <w:rPr>
                <w:rFonts w:ascii="Sakkal Majalla" w:hAnsi="Sakkal Majalla" w:cs="Sakkal Majalla"/>
                <w:noProof/>
                <w:webHidden/>
              </w:rPr>
            </w:r>
            <w:r w:rsidR="00F252BD" w:rsidRPr="002D03D4">
              <w:rPr>
                <w:rFonts w:ascii="Sakkal Majalla" w:hAnsi="Sakkal Majalla" w:cs="Sakkal Majalla"/>
                <w:noProof/>
                <w:webHidden/>
              </w:rPr>
              <w:fldChar w:fldCharType="separate"/>
            </w:r>
            <w:r w:rsidR="00F252BD" w:rsidRPr="002D03D4">
              <w:rPr>
                <w:rFonts w:ascii="Sakkal Majalla" w:hAnsi="Sakkal Majalla" w:cs="Sakkal Majalla"/>
                <w:noProof/>
                <w:webHidden/>
              </w:rPr>
              <w:t>3</w:t>
            </w:r>
            <w:r w:rsidR="00F252BD" w:rsidRPr="002D03D4">
              <w:rPr>
                <w:rFonts w:ascii="Sakkal Majalla" w:hAnsi="Sakkal Majalla" w:cs="Sakkal Majalla"/>
                <w:noProof/>
                <w:webHidden/>
              </w:rPr>
              <w:fldChar w:fldCharType="end"/>
            </w:r>
          </w:hyperlink>
        </w:p>
        <w:p w14:paraId="1705B19B" w14:textId="301582DA" w:rsidR="00F252BD" w:rsidRPr="002D03D4" w:rsidRDefault="00000000" w:rsidP="00F252BD">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0976" w:history="1">
            <w:r w:rsidR="00F252BD" w:rsidRPr="002D03D4">
              <w:rPr>
                <w:rStyle w:val="Hyperlink"/>
                <w:rFonts w:ascii="Sakkal Majalla" w:hAnsi="Sakkal Majalla" w:cs="Sakkal Majalla"/>
                <w:noProof/>
                <w:rtl/>
              </w:rPr>
              <w:t>ا</w:t>
            </w:r>
            <w:r w:rsidR="00F252BD" w:rsidRPr="002D03D4">
              <w:rPr>
                <w:rStyle w:val="Hyperlink"/>
                <w:rFonts w:ascii="Sakkal Majalla" w:eastAsia="Times New Roman" w:hAnsi="Sakkal Majalla" w:cs="Sakkal Majalla"/>
                <w:noProof/>
                <w:rtl/>
              </w:rPr>
              <w:t>لإجراءات</w:t>
            </w:r>
            <w:r w:rsidR="00F252BD" w:rsidRPr="002D03D4">
              <w:rPr>
                <w:rFonts w:ascii="Sakkal Majalla" w:hAnsi="Sakkal Majalla" w:cs="Sakkal Majalla"/>
                <w:noProof/>
                <w:webHidden/>
              </w:rPr>
              <w:tab/>
            </w:r>
            <w:r w:rsidR="00F252BD" w:rsidRPr="002D03D4">
              <w:rPr>
                <w:rFonts w:ascii="Sakkal Majalla" w:hAnsi="Sakkal Majalla" w:cs="Sakkal Majalla"/>
                <w:noProof/>
                <w:webHidden/>
              </w:rPr>
              <w:fldChar w:fldCharType="begin"/>
            </w:r>
            <w:r w:rsidR="00F252BD" w:rsidRPr="002D03D4">
              <w:rPr>
                <w:rFonts w:ascii="Sakkal Majalla" w:hAnsi="Sakkal Majalla" w:cs="Sakkal Majalla"/>
                <w:noProof/>
                <w:webHidden/>
              </w:rPr>
              <w:instrText xml:space="preserve"> PAGEREF _Toc177250976 \h </w:instrText>
            </w:r>
            <w:r w:rsidR="00F252BD" w:rsidRPr="002D03D4">
              <w:rPr>
                <w:rFonts w:ascii="Sakkal Majalla" w:hAnsi="Sakkal Majalla" w:cs="Sakkal Majalla"/>
                <w:noProof/>
                <w:webHidden/>
              </w:rPr>
            </w:r>
            <w:r w:rsidR="00F252BD" w:rsidRPr="002D03D4">
              <w:rPr>
                <w:rFonts w:ascii="Sakkal Majalla" w:hAnsi="Sakkal Majalla" w:cs="Sakkal Majalla"/>
                <w:noProof/>
                <w:webHidden/>
              </w:rPr>
              <w:fldChar w:fldCharType="separate"/>
            </w:r>
            <w:r w:rsidR="00F252BD" w:rsidRPr="002D03D4">
              <w:rPr>
                <w:rFonts w:ascii="Sakkal Majalla" w:hAnsi="Sakkal Majalla" w:cs="Sakkal Majalla"/>
                <w:noProof/>
                <w:webHidden/>
              </w:rPr>
              <w:t>3</w:t>
            </w:r>
            <w:r w:rsidR="00F252BD" w:rsidRPr="002D03D4">
              <w:rPr>
                <w:rFonts w:ascii="Sakkal Majalla" w:hAnsi="Sakkal Majalla" w:cs="Sakkal Majalla"/>
                <w:noProof/>
                <w:webHidden/>
              </w:rPr>
              <w:fldChar w:fldCharType="end"/>
            </w:r>
          </w:hyperlink>
        </w:p>
        <w:p w14:paraId="507B53E2" w14:textId="4C76BBAD" w:rsidR="00F252BD" w:rsidRPr="002D03D4" w:rsidRDefault="00000000" w:rsidP="00F252BD">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0977" w:history="1">
            <w:r w:rsidR="00F252BD" w:rsidRPr="002D03D4">
              <w:rPr>
                <w:rStyle w:val="Hyperlink"/>
                <w:rFonts w:ascii="Sakkal Majalla" w:eastAsia="Times New Roman" w:hAnsi="Sakkal Majalla" w:cs="Sakkal Majalla"/>
                <w:noProof/>
                <w:rtl/>
              </w:rPr>
              <w:t>مؤشرات القياس</w:t>
            </w:r>
            <w:r w:rsidR="00F252BD" w:rsidRPr="002D03D4">
              <w:rPr>
                <w:rFonts w:ascii="Sakkal Majalla" w:hAnsi="Sakkal Majalla" w:cs="Sakkal Majalla"/>
                <w:noProof/>
                <w:webHidden/>
              </w:rPr>
              <w:tab/>
            </w:r>
            <w:r w:rsidR="00F252BD" w:rsidRPr="002D03D4">
              <w:rPr>
                <w:rFonts w:ascii="Sakkal Majalla" w:hAnsi="Sakkal Majalla" w:cs="Sakkal Majalla"/>
                <w:noProof/>
                <w:webHidden/>
              </w:rPr>
              <w:fldChar w:fldCharType="begin"/>
            </w:r>
            <w:r w:rsidR="00F252BD" w:rsidRPr="002D03D4">
              <w:rPr>
                <w:rFonts w:ascii="Sakkal Majalla" w:hAnsi="Sakkal Majalla" w:cs="Sakkal Majalla"/>
                <w:noProof/>
                <w:webHidden/>
              </w:rPr>
              <w:instrText xml:space="preserve"> PAGEREF _Toc177250977 \h </w:instrText>
            </w:r>
            <w:r w:rsidR="00F252BD" w:rsidRPr="002D03D4">
              <w:rPr>
                <w:rFonts w:ascii="Sakkal Majalla" w:hAnsi="Sakkal Majalla" w:cs="Sakkal Majalla"/>
                <w:noProof/>
                <w:webHidden/>
              </w:rPr>
            </w:r>
            <w:r w:rsidR="00F252BD" w:rsidRPr="002D03D4">
              <w:rPr>
                <w:rFonts w:ascii="Sakkal Majalla" w:hAnsi="Sakkal Majalla" w:cs="Sakkal Majalla"/>
                <w:noProof/>
                <w:webHidden/>
              </w:rPr>
              <w:fldChar w:fldCharType="separate"/>
            </w:r>
            <w:r w:rsidR="00F252BD" w:rsidRPr="002D03D4">
              <w:rPr>
                <w:rFonts w:ascii="Sakkal Majalla" w:hAnsi="Sakkal Majalla" w:cs="Sakkal Majalla"/>
                <w:noProof/>
                <w:webHidden/>
              </w:rPr>
              <w:t>5</w:t>
            </w:r>
            <w:r w:rsidR="00F252BD" w:rsidRPr="002D03D4">
              <w:rPr>
                <w:rFonts w:ascii="Sakkal Majalla" w:hAnsi="Sakkal Majalla" w:cs="Sakkal Majalla"/>
                <w:noProof/>
                <w:webHidden/>
              </w:rPr>
              <w:fldChar w:fldCharType="end"/>
            </w:r>
          </w:hyperlink>
        </w:p>
        <w:p w14:paraId="35B55059" w14:textId="264DF75E" w:rsidR="00277D72" w:rsidRPr="002D03D4" w:rsidRDefault="00277D72" w:rsidP="00F252BD">
          <w:pPr>
            <w:rPr>
              <w:rFonts w:ascii="Sakkal Majalla" w:hAnsi="Sakkal Majalla" w:cs="Sakkal Majalla"/>
              <w:sz w:val="22"/>
              <w:szCs w:val="22"/>
            </w:rPr>
          </w:pPr>
          <w:r w:rsidRPr="002D03D4">
            <w:rPr>
              <w:rFonts w:ascii="Sakkal Majalla" w:hAnsi="Sakkal Majalla" w:cs="Sakkal Majalla"/>
              <w:b/>
              <w:bCs/>
              <w:sz w:val="22"/>
              <w:szCs w:val="22"/>
            </w:rPr>
            <w:fldChar w:fldCharType="end"/>
          </w:r>
        </w:p>
      </w:sdtContent>
    </w:sdt>
    <w:p w14:paraId="78D6EF5B" w14:textId="12CCB3F7" w:rsidR="001F502A" w:rsidRPr="002D03D4" w:rsidRDefault="001F502A" w:rsidP="00F252BD">
      <w:pPr>
        <w:jc w:val="left"/>
        <w:rPr>
          <w:rFonts w:ascii="Sakkal Majalla" w:eastAsiaTheme="majorEastAsia" w:hAnsi="Sakkal Majalla" w:cs="Sakkal Majalla"/>
          <w:color w:val="2E74B5" w:themeColor="accent1" w:themeShade="BF"/>
          <w:sz w:val="22"/>
          <w:szCs w:val="22"/>
          <w:rtl/>
        </w:rPr>
      </w:pPr>
    </w:p>
    <w:p w14:paraId="502786A7" w14:textId="77777777"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3118605F" w14:textId="573FEF39"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203C3A48" w14:textId="77777777"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7C0C235F" w14:textId="2A672EC4"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78985689" w14:textId="327E3613"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40A93D08" w14:textId="33953CEA"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40E13BF2" w14:textId="7F7AD574"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02851302" w14:textId="3F2CD509"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42F1ABD5" w14:textId="77777777"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30588139" w14:textId="77777777" w:rsidR="00F252BD" w:rsidRPr="002D03D4" w:rsidRDefault="00F252BD" w:rsidP="00F252BD">
      <w:pPr>
        <w:jc w:val="left"/>
        <w:rPr>
          <w:rFonts w:ascii="Sakkal Majalla" w:eastAsiaTheme="majorEastAsia" w:hAnsi="Sakkal Majalla" w:cs="Sakkal Majalla"/>
          <w:color w:val="2E74B5" w:themeColor="accent1" w:themeShade="BF"/>
          <w:sz w:val="22"/>
          <w:szCs w:val="22"/>
          <w:rtl/>
        </w:rPr>
      </w:pPr>
    </w:p>
    <w:p w14:paraId="707C35A9" w14:textId="2429FE60" w:rsidR="00277D72" w:rsidRPr="002D03D4" w:rsidRDefault="00277D72" w:rsidP="00F252BD">
      <w:pPr>
        <w:jc w:val="left"/>
        <w:rPr>
          <w:rFonts w:ascii="Sakkal Majalla" w:eastAsiaTheme="majorEastAsia" w:hAnsi="Sakkal Majalla" w:cs="Sakkal Majalla"/>
          <w:color w:val="2E74B5" w:themeColor="accent1" w:themeShade="BF"/>
          <w:sz w:val="23"/>
          <w:szCs w:val="23"/>
        </w:rPr>
      </w:pPr>
    </w:p>
    <w:p w14:paraId="4A255F64" w14:textId="77777777" w:rsidR="00B47089" w:rsidRPr="002D03D4" w:rsidRDefault="00B47089" w:rsidP="00F252BD">
      <w:pPr>
        <w:jc w:val="left"/>
        <w:rPr>
          <w:rFonts w:ascii="Sakkal Majalla" w:eastAsiaTheme="majorEastAsia" w:hAnsi="Sakkal Majalla" w:cs="Sakkal Majalla"/>
          <w:color w:val="2E74B5" w:themeColor="accent1" w:themeShade="BF"/>
          <w:sz w:val="23"/>
          <w:szCs w:val="23"/>
          <w:rtl/>
        </w:rPr>
      </w:pPr>
    </w:p>
    <w:p w14:paraId="500B93DA" w14:textId="77777777" w:rsidR="00B879E5" w:rsidRPr="002D03D4" w:rsidRDefault="00B879E5" w:rsidP="00F252BD">
      <w:pPr>
        <w:jc w:val="left"/>
        <w:rPr>
          <w:rFonts w:ascii="Sakkal Majalla" w:hAnsi="Sakkal Majalla" w:cs="Sakkal Majalla"/>
          <w:rtl/>
        </w:rPr>
      </w:pPr>
      <w:bookmarkStart w:id="2" w:name="_Toc170151735"/>
      <w:r w:rsidRPr="002D03D4">
        <w:rPr>
          <w:rFonts w:ascii="Sakkal Majalla" w:hAnsi="Sakkal Majalla" w:cs="Sakkal Majalla"/>
          <w:rtl/>
        </w:rPr>
        <w:br w:type="page"/>
      </w:r>
    </w:p>
    <w:p w14:paraId="318C9E8C" w14:textId="77777777" w:rsidR="00546AB0" w:rsidRPr="002D03D4" w:rsidRDefault="00546AB0" w:rsidP="00F252BD">
      <w:pPr>
        <w:pStyle w:val="Heading2"/>
        <w:rPr>
          <w:rFonts w:ascii="Sakkal Majalla" w:hAnsi="Sakkal Majalla" w:cs="Sakkal Majalla"/>
          <w:rtl/>
        </w:rPr>
      </w:pPr>
      <w:bookmarkStart w:id="3" w:name="_Toc168292447"/>
      <w:bookmarkStart w:id="4" w:name="_Toc170151913"/>
      <w:bookmarkStart w:id="5" w:name="_Toc177250974"/>
      <w:bookmarkEnd w:id="2"/>
      <w:r w:rsidRPr="002D03D4">
        <w:rPr>
          <w:rFonts w:ascii="Sakkal Majalla" w:hAnsi="Sakkal Majalla" w:cs="Sakkal Majalla"/>
          <w:rtl/>
        </w:rPr>
        <w:lastRenderedPageBreak/>
        <w:t>المقدمة</w:t>
      </w:r>
      <w:bookmarkEnd w:id="3"/>
      <w:bookmarkEnd w:id="4"/>
      <w:bookmarkEnd w:id="5"/>
    </w:p>
    <w:p w14:paraId="16A42EF1" w14:textId="050BD373" w:rsidR="00546AB0" w:rsidRPr="002D03D4" w:rsidRDefault="00546AB0" w:rsidP="00F252BD">
      <w:pPr>
        <w:pStyle w:val="NormalWeb"/>
        <w:rPr>
          <w:rFonts w:ascii="Sakkal Majalla" w:hAnsi="Sakkal Majalla" w:cs="Sakkal Majalla"/>
          <w:rtl/>
        </w:rPr>
      </w:pPr>
      <w:bookmarkStart w:id="6" w:name="_Toc168292448"/>
      <w:r w:rsidRPr="002D03D4">
        <w:rPr>
          <w:rFonts w:ascii="Sakkal Majalla" w:hAnsi="Sakkal Majalla" w:cs="Sakkal Majalla"/>
          <w:rtl/>
        </w:rPr>
        <w:t xml:space="preserve">تعدّ سياسة المساواة في فرص التوظيف أساسًا جوهرياً في بيئة العمل الحديثة التي تسعى إلى تعزيز العدالة والتنوع. تهدف هذه السياسة إلى تأمين فرص متساوية لجميع المتقدمين للوظائف دون أي تمييز بناءً على الجنس أو العرق أو الدين أو العوامل الأخرى غير المتعلقة بالأداء. نسعى إلى خلق بيئة عمل تشجع على الإبداع والتفاعل المثمر بين جميع أفراد الفريق، مما يعزز من التنوع ويعكس قيم الشمولية والتنوع والاحترام المتبادل. </w:t>
      </w:r>
    </w:p>
    <w:p w14:paraId="33A99C02" w14:textId="77777777" w:rsidR="00546AB0" w:rsidRPr="002D03D4" w:rsidRDefault="00546AB0" w:rsidP="00F252BD">
      <w:pPr>
        <w:pStyle w:val="Heading2"/>
        <w:rPr>
          <w:rFonts w:ascii="Sakkal Majalla" w:eastAsia="Times New Roman" w:hAnsi="Sakkal Majalla" w:cs="Sakkal Majalla"/>
          <w:rtl/>
        </w:rPr>
      </w:pPr>
      <w:bookmarkStart w:id="7" w:name="_Toc170151914"/>
      <w:bookmarkStart w:id="8" w:name="_Toc177250975"/>
      <w:r w:rsidRPr="002D03D4">
        <w:rPr>
          <w:rFonts w:ascii="Sakkal Majalla" w:eastAsia="Times New Roman" w:hAnsi="Sakkal Majalla" w:cs="Sakkal Majalla"/>
          <w:rtl/>
        </w:rPr>
        <w:t>أهداف السياسة</w:t>
      </w:r>
      <w:bookmarkEnd w:id="6"/>
      <w:bookmarkEnd w:id="7"/>
      <w:bookmarkEnd w:id="8"/>
    </w:p>
    <w:p w14:paraId="0CD2C502" w14:textId="77777777" w:rsidR="00546AB0" w:rsidRPr="002D03D4" w:rsidRDefault="00546AB0" w:rsidP="00F252BD">
      <w:pPr>
        <w:pStyle w:val="ListParagraph"/>
        <w:numPr>
          <w:ilvl w:val="0"/>
          <w:numId w:val="6"/>
        </w:numPr>
        <w:rPr>
          <w:rFonts w:ascii="Sakkal Majalla" w:hAnsi="Sakkal Majalla" w:cs="Sakkal Majalla"/>
        </w:rPr>
      </w:pPr>
      <w:bookmarkStart w:id="9" w:name="_Toc168292453"/>
      <w:r w:rsidRPr="002D03D4">
        <w:rPr>
          <w:rFonts w:ascii="Sakkal Majalla" w:hAnsi="Sakkal Majalla" w:cs="Sakkal Majalla"/>
          <w:rtl/>
        </w:rPr>
        <w:t>تعزيز تمثيل النساء في جميع مستويات التنظيم والمناصب القيادية.</w:t>
      </w:r>
    </w:p>
    <w:p w14:paraId="0CDC8DC2" w14:textId="77777777" w:rsidR="00546AB0" w:rsidRPr="002D03D4" w:rsidRDefault="00546AB0" w:rsidP="00F252BD">
      <w:pPr>
        <w:pStyle w:val="ListParagraph"/>
        <w:numPr>
          <w:ilvl w:val="0"/>
          <w:numId w:val="6"/>
        </w:numPr>
        <w:rPr>
          <w:rFonts w:ascii="Sakkal Majalla" w:hAnsi="Sakkal Majalla" w:cs="Sakkal Majalla"/>
        </w:rPr>
      </w:pPr>
      <w:r w:rsidRPr="002D03D4">
        <w:rPr>
          <w:rFonts w:ascii="Sakkal Majalla" w:hAnsi="Sakkal Majalla" w:cs="Sakkal Majalla"/>
          <w:rtl/>
        </w:rPr>
        <w:t>تحقيق تكافؤ الفرص في التوظيف والترقيات بين النساء والرجال.</w:t>
      </w:r>
    </w:p>
    <w:p w14:paraId="04370F84" w14:textId="77777777" w:rsidR="00546AB0" w:rsidRPr="002D03D4" w:rsidRDefault="00546AB0" w:rsidP="00F252BD">
      <w:pPr>
        <w:pStyle w:val="ListParagraph"/>
        <w:numPr>
          <w:ilvl w:val="0"/>
          <w:numId w:val="6"/>
        </w:numPr>
        <w:rPr>
          <w:rFonts w:ascii="Sakkal Majalla" w:hAnsi="Sakkal Majalla" w:cs="Sakkal Majalla"/>
        </w:rPr>
      </w:pPr>
      <w:r w:rsidRPr="002D03D4">
        <w:rPr>
          <w:rFonts w:ascii="Sakkal Majalla" w:hAnsi="Sakkal Majalla" w:cs="Sakkal Majalla"/>
          <w:rtl/>
        </w:rPr>
        <w:t>توفير بيئة عمل شاملة ومتساوية تعزز من استقلالية وثقة النساء وتمكينهن من تحقيق إمكانياتهن الكاملة.</w:t>
      </w:r>
    </w:p>
    <w:p w14:paraId="4F5AEBBB" w14:textId="77777777" w:rsidR="00546AB0" w:rsidRPr="002D03D4" w:rsidRDefault="00546AB0" w:rsidP="00F252BD">
      <w:pPr>
        <w:pStyle w:val="ListParagraph"/>
        <w:numPr>
          <w:ilvl w:val="0"/>
          <w:numId w:val="6"/>
        </w:numPr>
        <w:rPr>
          <w:rFonts w:ascii="Sakkal Majalla" w:hAnsi="Sakkal Majalla" w:cs="Sakkal Majalla"/>
        </w:rPr>
      </w:pPr>
      <w:r w:rsidRPr="002D03D4">
        <w:rPr>
          <w:rFonts w:ascii="Sakkal Majalla" w:hAnsi="Sakkal Majalla" w:cs="Sakkal Majalla"/>
          <w:rtl/>
        </w:rPr>
        <w:t>تطوير برامج تدريب وتطوير خاصة تعزز من مهارات النساء وتساهم في تعزيز فرص الترقيات الداخلية.</w:t>
      </w:r>
    </w:p>
    <w:p w14:paraId="6E124849" w14:textId="77777777" w:rsidR="00546AB0" w:rsidRPr="002D03D4" w:rsidRDefault="00546AB0" w:rsidP="00F252BD">
      <w:pPr>
        <w:pStyle w:val="ListParagraph"/>
        <w:numPr>
          <w:ilvl w:val="0"/>
          <w:numId w:val="6"/>
        </w:numPr>
        <w:rPr>
          <w:rFonts w:ascii="Sakkal Majalla" w:eastAsia="Times New Roman" w:hAnsi="Sakkal Majalla" w:cs="Sakkal Majalla"/>
        </w:rPr>
      </w:pPr>
      <w:r w:rsidRPr="002D03D4">
        <w:rPr>
          <w:rFonts w:ascii="Sakkal Majalla" w:hAnsi="Sakkal Majalla" w:cs="Sakkal Majalla"/>
          <w:rtl/>
        </w:rPr>
        <w:t>التزام بالقوانين والسياسات المحلية والدولية المتعلقة بحقوق المرأة وتعزيز المساواة في الفرص داخل العمل.</w:t>
      </w:r>
      <w:bookmarkStart w:id="10" w:name="_Toc168292454"/>
      <w:bookmarkEnd w:id="9"/>
      <w:r w:rsidRPr="002D03D4">
        <w:rPr>
          <w:rFonts w:ascii="Sakkal Majalla" w:eastAsia="Times New Roman" w:hAnsi="Sakkal Majalla" w:cs="Sakkal Majalla"/>
        </w:rPr>
        <w:t xml:space="preserve"> </w:t>
      </w:r>
      <w:r w:rsidRPr="002D03D4">
        <w:rPr>
          <w:rFonts w:ascii="Sakkal Majalla" w:eastAsia="Times New Roman" w:hAnsi="Sakkal Majalla" w:cs="Sakkal Majalla"/>
          <w:rtl/>
        </w:rPr>
        <w:t xml:space="preserve"> </w:t>
      </w:r>
    </w:p>
    <w:p w14:paraId="4E6C132D" w14:textId="77777777" w:rsidR="00546AB0" w:rsidRPr="002D03D4" w:rsidRDefault="00546AB0" w:rsidP="00F252BD">
      <w:pPr>
        <w:pStyle w:val="Heading2"/>
        <w:rPr>
          <w:rFonts w:ascii="Sakkal Majalla" w:eastAsia="Times New Roman" w:hAnsi="Sakkal Majalla" w:cs="Sakkal Majalla"/>
        </w:rPr>
      </w:pPr>
      <w:bookmarkStart w:id="11" w:name="_Toc177250976"/>
      <w:r w:rsidRPr="002D03D4">
        <w:rPr>
          <w:rFonts w:ascii="Sakkal Majalla" w:hAnsi="Sakkal Majalla" w:cs="Sakkal Majalla"/>
          <w:rtl/>
          <w:lang w:bidi="ar-SA"/>
        </w:rPr>
        <w:t>ا</w:t>
      </w:r>
      <w:r w:rsidRPr="002D03D4">
        <w:rPr>
          <w:rFonts w:ascii="Sakkal Majalla" w:eastAsia="Times New Roman" w:hAnsi="Sakkal Majalla" w:cs="Sakkal Majalla"/>
          <w:rtl/>
        </w:rPr>
        <w:t>لإجراءات</w:t>
      </w:r>
      <w:bookmarkEnd w:id="11"/>
    </w:p>
    <w:p w14:paraId="23288C87" w14:textId="77777777" w:rsidR="00546AB0" w:rsidRPr="002D03D4" w:rsidRDefault="00546AB0" w:rsidP="00F252BD">
      <w:pPr>
        <w:rPr>
          <w:rFonts w:ascii="Sakkal Majalla" w:eastAsia="Times New Roman" w:hAnsi="Sakkal Majalla" w:cs="Sakkal Majalla"/>
        </w:rPr>
      </w:pPr>
      <w:r w:rsidRPr="002D03D4">
        <w:rPr>
          <w:rFonts w:ascii="Sakkal Majalla" w:eastAsia="Times New Roman" w:hAnsi="Sakkal Majalla" w:cs="Sakkal Majalla"/>
          <w:rtl/>
        </w:rPr>
        <w:t>يوضح الجدول رقم (35) أساليب تعزيز المساواة في فرص التوظيف.</w:t>
      </w:r>
    </w:p>
    <w:p w14:paraId="65A3CF16" w14:textId="77777777" w:rsidR="00546AB0" w:rsidRPr="002D03D4" w:rsidRDefault="00546AB0" w:rsidP="00F252BD">
      <w:pPr>
        <w:pStyle w:val="Caption"/>
        <w:rPr>
          <w:rFonts w:ascii="Sakkal Majalla" w:eastAsia="Times New Roman" w:hAnsi="Sakkal Majalla" w:cs="Sakkal Majalla"/>
          <w:rtl/>
        </w:rPr>
      </w:pPr>
      <w:bookmarkStart w:id="12" w:name="_Toc170900728"/>
      <w:r w:rsidRPr="002D03D4">
        <w:rPr>
          <w:rFonts w:ascii="Sakkal Majalla" w:hAnsi="Sakkal Majalla" w:cs="Sakkal Majalla"/>
          <w:rtl/>
        </w:rPr>
        <w:t xml:space="preserve">جدول </w:t>
      </w:r>
      <w:r w:rsidR="00000000" w:rsidRPr="002D03D4">
        <w:rPr>
          <w:rFonts w:ascii="Sakkal Majalla" w:hAnsi="Sakkal Majalla" w:cs="Sakkal Majalla"/>
        </w:rPr>
        <w:fldChar w:fldCharType="begin"/>
      </w:r>
      <w:r w:rsidR="00000000" w:rsidRPr="002D03D4">
        <w:rPr>
          <w:rFonts w:ascii="Sakkal Majalla" w:hAnsi="Sakkal Majalla" w:cs="Sakkal Majalla"/>
        </w:rPr>
        <w:instrText xml:space="preserve"> SEQ </w:instrText>
      </w:r>
      <w:r w:rsidR="00000000" w:rsidRPr="002D03D4">
        <w:rPr>
          <w:rFonts w:ascii="Sakkal Majalla" w:hAnsi="Sakkal Majalla" w:cs="Sakkal Majalla"/>
          <w:rtl/>
        </w:rPr>
        <w:instrText>جدول</w:instrText>
      </w:r>
      <w:r w:rsidR="00000000" w:rsidRPr="002D03D4">
        <w:rPr>
          <w:rFonts w:ascii="Sakkal Majalla" w:hAnsi="Sakkal Majalla" w:cs="Sakkal Majalla"/>
        </w:rPr>
        <w:instrText xml:space="preserve"> \* ARABIC </w:instrText>
      </w:r>
      <w:r w:rsidR="00000000" w:rsidRPr="002D03D4">
        <w:rPr>
          <w:rFonts w:ascii="Sakkal Majalla" w:hAnsi="Sakkal Majalla" w:cs="Sakkal Majalla"/>
        </w:rPr>
        <w:fldChar w:fldCharType="separate"/>
      </w:r>
      <w:r w:rsidRPr="002D03D4">
        <w:rPr>
          <w:rFonts w:ascii="Sakkal Majalla" w:hAnsi="Sakkal Majalla" w:cs="Sakkal Majalla"/>
        </w:rPr>
        <w:t>35</w:t>
      </w:r>
      <w:r w:rsidR="00000000" w:rsidRPr="002D03D4">
        <w:rPr>
          <w:rFonts w:ascii="Sakkal Majalla" w:hAnsi="Sakkal Majalla" w:cs="Sakkal Majalla"/>
        </w:rPr>
        <w:fldChar w:fldCharType="end"/>
      </w:r>
      <w:r w:rsidRPr="002D03D4">
        <w:rPr>
          <w:rFonts w:ascii="Sakkal Majalla" w:hAnsi="Sakkal Majalla" w:cs="Sakkal Majalla"/>
          <w:rtl/>
        </w:rPr>
        <w:t>: اساليب تعزيز المساواة في فرص التوظيف</w:t>
      </w:r>
      <w:bookmarkEnd w:id="12"/>
    </w:p>
    <w:tbl>
      <w:tblPr>
        <w:tblStyle w:val="TableGrid"/>
        <w:bidiVisual/>
        <w:tblW w:w="9355" w:type="dxa"/>
        <w:tblLook w:val="04A0" w:firstRow="1" w:lastRow="0" w:firstColumn="1" w:lastColumn="0" w:noHBand="0" w:noVBand="1"/>
      </w:tblPr>
      <w:tblGrid>
        <w:gridCol w:w="339"/>
        <w:gridCol w:w="1636"/>
        <w:gridCol w:w="7380"/>
      </w:tblGrid>
      <w:tr w:rsidR="00546AB0" w:rsidRPr="002D03D4" w14:paraId="6A7C0F6D"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4C7A19"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1</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F4FBA2"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توصيف الوظائف</w:t>
            </w:r>
          </w:p>
        </w:tc>
        <w:tc>
          <w:tcPr>
            <w:tcW w:w="7380" w:type="dxa"/>
            <w:tcBorders>
              <w:top w:val="single" w:sz="4" w:space="0" w:color="auto"/>
              <w:left w:val="single" w:sz="4" w:space="0" w:color="auto"/>
              <w:bottom w:val="single" w:sz="4" w:space="0" w:color="auto"/>
              <w:right w:val="single" w:sz="4" w:space="0" w:color="auto"/>
            </w:tcBorders>
          </w:tcPr>
          <w:p w14:paraId="39663491"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تحديد المهام بشكل واضح: ضمان أن وصف الوظيفة يعكس المهام الأساسية والمسؤوليات المتوقعة بدقة، مع تجنب أي تحديد غير مبرر يميز ضد النساء.</w:t>
            </w:r>
          </w:p>
          <w:p w14:paraId="20FB79CA"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تعزيز المهارات النسائية: تضمين المهارات والخبرات التي تعززها النساء بشكل خاص كجزء من الوصف الوظيفي، مثل القيادة التعاونية والتواصل الفعال.</w:t>
            </w:r>
          </w:p>
        </w:tc>
      </w:tr>
      <w:tr w:rsidR="00546AB0" w:rsidRPr="002D03D4" w14:paraId="2F41CFC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68A8A8"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2</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1B09A0"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الإعلان عن الوظائف</w:t>
            </w:r>
          </w:p>
        </w:tc>
        <w:tc>
          <w:tcPr>
            <w:tcW w:w="7380" w:type="dxa"/>
            <w:tcBorders>
              <w:top w:val="single" w:sz="4" w:space="0" w:color="auto"/>
              <w:left w:val="single" w:sz="4" w:space="0" w:color="auto"/>
              <w:bottom w:val="single" w:sz="4" w:space="0" w:color="auto"/>
              <w:right w:val="single" w:sz="4" w:space="0" w:color="auto"/>
            </w:tcBorders>
          </w:tcPr>
          <w:p w14:paraId="5E4D1BBC"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استخدام لغة متساوية: استخدام لغة تعلن عن الوظائف بطريقة غير تمييزية وتشجع النساء على التقدم للوظائف المتاحة.</w:t>
            </w:r>
          </w:p>
          <w:p w14:paraId="4F2DE89E"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الترويج للنساء: توجيه الجهود الإعلامية والإعلانية لزيادة تواجد النساء وتشجيعهن على التقديم للوظائف.</w:t>
            </w:r>
          </w:p>
        </w:tc>
      </w:tr>
      <w:tr w:rsidR="00546AB0" w:rsidRPr="002D03D4" w14:paraId="44BB70F9"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CC47EE"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lastRenderedPageBreak/>
              <w:t>3</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F03200"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التوظيف الداخلي والخارجي</w:t>
            </w:r>
          </w:p>
        </w:tc>
        <w:tc>
          <w:tcPr>
            <w:tcW w:w="7380" w:type="dxa"/>
            <w:tcBorders>
              <w:top w:val="single" w:sz="4" w:space="0" w:color="auto"/>
              <w:left w:val="single" w:sz="4" w:space="0" w:color="auto"/>
              <w:bottom w:val="single" w:sz="4" w:space="0" w:color="auto"/>
              <w:right w:val="single" w:sz="4" w:space="0" w:color="auto"/>
            </w:tcBorders>
          </w:tcPr>
          <w:p w14:paraId="6EBB2135"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تعزيز التوظيف الداخلي للنساء: تشجيع الموظفات على التقدم للوظائف الشاغرة داخل (الشركة/المؤسسة)، مع تأمين الفرص المتساوية للنساء للترقيات والتحديات الجديدة.</w:t>
            </w:r>
          </w:p>
          <w:p w14:paraId="1BF5EE16"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الترويج للتوظيف الخارجي للنساء: زيادة التركيز على استقطاب النساء الموهوبات من خارج (الشركة/المؤسسة) عن طريق شبكات التوظيف، والمناسبات الاحترافية، والموارد البشرية الرقمية.</w:t>
            </w:r>
          </w:p>
        </w:tc>
      </w:tr>
      <w:tr w:rsidR="00546AB0" w:rsidRPr="002D03D4" w14:paraId="00C426B7"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E9D606"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4</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C48EA7"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عمليات المقابلات والاختيار</w:t>
            </w:r>
          </w:p>
        </w:tc>
        <w:tc>
          <w:tcPr>
            <w:tcW w:w="7380" w:type="dxa"/>
            <w:tcBorders>
              <w:top w:val="single" w:sz="4" w:space="0" w:color="auto"/>
              <w:left w:val="single" w:sz="4" w:space="0" w:color="auto"/>
              <w:bottom w:val="single" w:sz="4" w:space="0" w:color="auto"/>
              <w:right w:val="single" w:sz="4" w:space="0" w:color="auto"/>
            </w:tcBorders>
          </w:tcPr>
          <w:p w14:paraId="4DA17AC7"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لجان المقابلة متنوعة: التأكيد على تشكيل لجان المقابلة التي تعكس تنوع الأفراد وتحترم التعددية، مع تأمين عمليات تقييم موضوعية وغير متحيزة.</w:t>
            </w:r>
          </w:p>
          <w:p w14:paraId="46F00387"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تحقيق التوازن: ضمان توازن الأفراد في المقابلات لضمان فرص متساوية للنساء في عملية الاختيار.</w:t>
            </w:r>
          </w:p>
        </w:tc>
      </w:tr>
      <w:tr w:rsidR="00546AB0" w:rsidRPr="002D03D4" w14:paraId="7157E6E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0DF7B3"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5</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E450DE"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متابعة وتقييم العملية</w:t>
            </w:r>
          </w:p>
        </w:tc>
        <w:tc>
          <w:tcPr>
            <w:tcW w:w="7380" w:type="dxa"/>
            <w:tcBorders>
              <w:top w:val="single" w:sz="4" w:space="0" w:color="auto"/>
              <w:left w:val="single" w:sz="4" w:space="0" w:color="auto"/>
              <w:bottom w:val="single" w:sz="4" w:space="0" w:color="auto"/>
              <w:right w:val="single" w:sz="4" w:space="0" w:color="auto"/>
            </w:tcBorders>
          </w:tcPr>
          <w:p w14:paraId="7BFF1485"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تحليل البيانات المبنية على النوع الاجتماعي: تحليل بيانات عمليات التوظيف لتحديد أي انحرافات تتعلق بالنوع الاجتماعي محتملة واتخاذ التدابير اللازمة لضمان المساواة.</w:t>
            </w:r>
          </w:p>
          <w:p w14:paraId="03C32B11"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تقييم الأثر بناء على الموع الاجتماعي: تقييم أثر أي إجراءات جديدة أو تحسينات على المساواة في فرص التوظيف للنساء، وضمان استمرارية الالتزام بالمعايير المحددة.</w:t>
            </w:r>
          </w:p>
        </w:tc>
      </w:tr>
    </w:tbl>
    <w:p w14:paraId="770E28F7" w14:textId="2307E086" w:rsidR="00546AB0" w:rsidRDefault="00546AB0" w:rsidP="00F252BD">
      <w:pPr>
        <w:spacing w:line="259" w:lineRule="auto"/>
        <w:jc w:val="left"/>
        <w:rPr>
          <w:rFonts w:ascii="Sakkal Majalla" w:eastAsia="Times New Roman" w:hAnsi="Sakkal Majalla" w:cs="Sakkal Majalla"/>
          <w:color w:val="ED7D31" w:themeColor="accent2"/>
          <w:sz w:val="32"/>
          <w:szCs w:val="32"/>
        </w:rPr>
      </w:pPr>
      <w:bookmarkStart w:id="13" w:name="_Toc170151916"/>
      <w:bookmarkEnd w:id="10"/>
    </w:p>
    <w:p w14:paraId="45DE30D5" w14:textId="77777777" w:rsidR="002D03D4" w:rsidRDefault="002D03D4" w:rsidP="00F252BD">
      <w:pPr>
        <w:spacing w:line="259" w:lineRule="auto"/>
        <w:jc w:val="left"/>
        <w:rPr>
          <w:rFonts w:ascii="Sakkal Majalla" w:eastAsia="Times New Roman" w:hAnsi="Sakkal Majalla" w:cs="Sakkal Majalla"/>
          <w:color w:val="ED7D31" w:themeColor="accent2"/>
          <w:sz w:val="32"/>
          <w:szCs w:val="32"/>
        </w:rPr>
      </w:pPr>
    </w:p>
    <w:p w14:paraId="53B42E53" w14:textId="77777777" w:rsidR="002D03D4" w:rsidRDefault="002D03D4" w:rsidP="00F252BD">
      <w:pPr>
        <w:spacing w:line="259" w:lineRule="auto"/>
        <w:jc w:val="left"/>
        <w:rPr>
          <w:rFonts w:ascii="Sakkal Majalla" w:eastAsia="Times New Roman" w:hAnsi="Sakkal Majalla" w:cs="Sakkal Majalla"/>
          <w:color w:val="ED7D31" w:themeColor="accent2"/>
          <w:sz w:val="32"/>
          <w:szCs w:val="32"/>
        </w:rPr>
      </w:pPr>
    </w:p>
    <w:p w14:paraId="3C4CF59D" w14:textId="77777777" w:rsidR="002D03D4" w:rsidRDefault="002D03D4" w:rsidP="00F252BD">
      <w:pPr>
        <w:spacing w:line="259" w:lineRule="auto"/>
        <w:jc w:val="left"/>
        <w:rPr>
          <w:rFonts w:ascii="Sakkal Majalla" w:eastAsia="Times New Roman" w:hAnsi="Sakkal Majalla" w:cs="Sakkal Majalla"/>
          <w:color w:val="ED7D31" w:themeColor="accent2"/>
          <w:sz w:val="32"/>
          <w:szCs w:val="32"/>
        </w:rPr>
      </w:pPr>
    </w:p>
    <w:p w14:paraId="2C46C02C" w14:textId="77777777" w:rsidR="002D03D4" w:rsidRDefault="002D03D4" w:rsidP="00F252BD">
      <w:pPr>
        <w:spacing w:line="259" w:lineRule="auto"/>
        <w:jc w:val="left"/>
        <w:rPr>
          <w:rFonts w:ascii="Sakkal Majalla" w:eastAsia="Times New Roman" w:hAnsi="Sakkal Majalla" w:cs="Sakkal Majalla"/>
          <w:color w:val="ED7D31" w:themeColor="accent2"/>
          <w:sz w:val="32"/>
          <w:szCs w:val="32"/>
        </w:rPr>
      </w:pPr>
    </w:p>
    <w:p w14:paraId="0380D83F" w14:textId="77777777" w:rsidR="002D03D4" w:rsidRDefault="002D03D4" w:rsidP="00F252BD">
      <w:pPr>
        <w:spacing w:line="259" w:lineRule="auto"/>
        <w:jc w:val="left"/>
        <w:rPr>
          <w:rFonts w:ascii="Sakkal Majalla" w:eastAsia="Times New Roman" w:hAnsi="Sakkal Majalla" w:cs="Sakkal Majalla"/>
          <w:color w:val="ED7D31" w:themeColor="accent2"/>
          <w:sz w:val="32"/>
          <w:szCs w:val="32"/>
        </w:rPr>
      </w:pPr>
    </w:p>
    <w:p w14:paraId="5BDA2121" w14:textId="77777777" w:rsidR="002D03D4" w:rsidRDefault="002D03D4" w:rsidP="00F252BD">
      <w:pPr>
        <w:spacing w:line="259" w:lineRule="auto"/>
        <w:jc w:val="left"/>
        <w:rPr>
          <w:rFonts w:ascii="Sakkal Majalla" w:eastAsia="Times New Roman" w:hAnsi="Sakkal Majalla" w:cs="Sakkal Majalla"/>
          <w:color w:val="ED7D31" w:themeColor="accent2"/>
          <w:sz w:val="32"/>
          <w:szCs w:val="32"/>
        </w:rPr>
      </w:pPr>
    </w:p>
    <w:p w14:paraId="27364EF7" w14:textId="77777777" w:rsidR="002D03D4" w:rsidRPr="002D03D4" w:rsidRDefault="002D03D4" w:rsidP="00F252BD">
      <w:pPr>
        <w:spacing w:line="259" w:lineRule="auto"/>
        <w:jc w:val="left"/>
        <w:rPr>
          <w:rFonts w:ascii="Sakkal Majalla" w:eastAsia="Times New Roman" w:hAnsi="Sakkal Majalla" w:cs="Sakkal Majalla"/>
          <w:color w:val="ED7D31" w:themeColor="accent2"/>
          <w:sz w:val="32"/>
          <w:szCs w:val="32"/>
          <w:rtl/>
        </w:rPr>
      </w:pPr>
    </w:p>
    <w:p w14:paraId="7546832A" w14:textId="77777777" w:rsidR="00546AB0" w:rsidRPr="002D03D4" w:rsidRDefault="00546AB0" w:rsidP="00F252BD">
      <w:pPr>
        <w:pStyle w:val="Heading2"/>
        <w:rPr>
          <w:rFonts w:ascii="Sakkal Majalla" w:eastAsia="Times New Roman" w:hAnsi="Sakkal Majalla" w:cs="Sakkal Majalla"/>
          <w:rtl/>
        </w:rPr>
      </w:pPr>
      <w:bookmarkStart w:id="14" w:name="_Toc177250977"/>
      <w:r w:rsidRPr="002D03D4">
        <w:rPr>
          <w:rFonts w:ascii="Sakkal Majalla" w:eastAsia="Times New Roman" w:hAnsi="Sakkal Majalla" w:cs="Sakkal Majalla"/>
          <w:rtl/>
        </w:rPr>
        <w:lastRenderedPageBreak/>
        <w:t>مؤشرات القياس</w:t>
      </w:r>
      <w:bookmarkEnd w:id="13"/>
      <w:bookmarkEnd w:id="14"/>
    </w:p>
    <w:p w14:paraId="2D22D0C7"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 تهدف مؤشرات القياس إلى توفير وسيلة لتقييم النتائج وفعالية السياسة بشكل كمي أو كيفي، مما يساعد على تحديد مدى تحقيق الأهداف المحددة واتخاذ القرارات اللازمة لتحسين الأداء</w:t>
      </w:r>
    </w:p>
    <w:tbl>
      <w:tblPr>
        <w:tblStyle w:val="TableGrid"/>
        <w:bidiVisual/>
        <w:tblW w:w="9355" w:type="dxa"/>
        <w:tblLook w:val="04A0" w:firstRow="1" w:lastRow="0" w:firstColumn="1" w:lastColumn="0" w:noHBand="0" w:noVBand="1"/>
      </w:tblPr>
      <w:tblGrid>
        <w:gridCol w:w="339"/>
        <w:gridCol w:w="1636"/>
        <w:gridCol w:w="7380"/>
      </w:tblGrid>
      <w:tr w:rsidR="00546AB0" w:rsidRPr="002D03D4" w14:paraId="03B27028"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03923"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1</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8CBB33"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نسبة التوظيف للنساء</w:t>
            </w:r>
          </w:p>
        </w:tc>
        <w:tc>
          <w:tcPr>
            <w:tcW w:w="7380" w:type="dxa"/>
            <w:tcBorders>
              <w:top w:val="single" w:sz="4" w:space="0" w:color="auto"/>
              <w:left w:val="single" w:sz="4" w:space="0" w:color="auto"/>
              <w:bottom w:val="single" w:sz="4" w:space="0" w:color="auto"/>
              <w:right w:val="single" w:sz="4" w:space="0" w:color="auto"/>
            </w:tcBorders>
          </w:tcPr>
          <w:p w14:paraId="0BF651F2"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نسبة النساء الموظفات في (الشركة/المؤسسة) بالنسبة إلى إجمالي عدد الموظفين/الموظفات. يمكن تقسيمها حسب مستويات الوظائف المختلفة لتقييم توزيع النساء في مختلف الأدوار الإدارية</w:t>
            </w:r>
            <w:r w:rsidRPr="002D03D4">
              <w:rPr>
                <w:rFonts w:ascii="Sakkal Majalla" w:hAnsi="Sakkal Majalla" w:cs="Sakkal Majalla"/>
              </w:rPr>
              <w:t>.</w:t>
            </w:r>
          </w:p>
        </w:tc>
      </w:tr>
      <w:tr w:rsidR="00546AB0" w:rsidRPr="002D03D4" w14:paraId="1A865517"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856DB1"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2</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CE2439"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نسبة المرشحات النسائيات المدعوات للمقابلة</w:t>
            </w:r>
          </w:p>
        </w:tc>
        <w:tc>
          <w:tcPr>
            <w:tcW w:w="7380" w:type="dxa"/>
            <w:tcBorders>
              <w:top w:val="single" w:sz="4" w:space="0" w:color="auto"/>
              <w:left w:val="single" w:sz="4" w:space="0" w:color="auto"/>
              <w:bottom w:val="single" w:sz="4" w:space="0" w:color="auto"/>
              <w:right w:val="single" w:sz="4" w:space="0" w:color="auto"/>
            </w:tcBorders>
          </w:tcPr>
          <w:p w14:paraId="3B50818A"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نسبة النساء المدعوات لإجراء مقابلات بالنسبة إلى إجمالي عدد المرشحين المدعوين.</w:t>
            </w:r>
          </w:p>
        </w:tc>
      </w:tr>
      <w:tr w:rsidR="00546AB0" w:rsidRPr="002D03D4" w14:paraId="511A92C1"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7B118C"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3</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5CF88F"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نسبة النساء في الترقيات</w:t>
            </w:r>
          </w:p>
        </w:tc>
        <w:tc>
          <w:tcPr>
            <w:tcW w:w="7380" w:type="dxa"/>
            <w:tcBorders>
              <w:top w:val="single" w:sz="4" w:space="0" w:color="auto"/>
              <w:left w:val="single" w:sz="4" w:space="0" w:color="auto"/>
              <w:bottom w:val="single" w:sz="4" w:space="0" w:color="auto"/>
              <w:right w:val="single" w:sz="4" w:space="0" w:color="auto"/>
            </w:tcBorders>
          </w:tcPr>
          <w:p w14:paraId="03B8517B"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تقييم ما إذا كانت النساء يحصلن على فرص متساوية للترقيات مقارنة بالرجال في (الشركة/المؤسسة)</w:t>
            </w:r>
          </w:p>
        </w:tc>
      </w:tr>
      <w:tr w:rsidR="00546AB0" w:rsidRPr="002D03D4" w14:paraId="16650FE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7CE35D"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4</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2B13D1"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نسبة التوظيف الخارجي للنساء</w:t>
            </w:r>
          </w:p>
        </w:tc>
        <w:tc>
          <w:tcPr>
            <w:tcW w:w="7380" w:type="dxa"/>
            <w:tcBorders>
              <w:top w:val="single" w:sz="4" w:space="0" w:color="auto"/>
              <w:left w:val="single" w:sz="4" w:space="0" w:color="auto"/>
              <w:bottom w:val="single" w:sz="4" w:space="0" w:color="auto"/>
              <w:right w:val="single" w:sz="4" w:space="0" w:color="auto"/>
            </w:tcBorders>
          </w:tcPr>
          <w:p w14:paraId="34A41922"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سبة النساء الجديدات الموظفات من خارج المنظمة مقارنة بالرجال الجدد</w:t>
            </w:r>
            <w:r w:rsidRPr="002D03D4">
              <w:rPr>
                <w:rFonts w:ascii="Sakkal Majalla" w:hAnsi="Sakkal Majalla" w:cs="Sakkal Majalla"/>
              </w:rPr>
              <w:t>.</w:t>
            </w:r>
          </w:p>
        </w:tc>
      </w:tr>
      <w:tr w:rsidR="00546AB0" w:rsidRPr="002D03D4" w14:paraId="26357B82"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1F2579"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5</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ED5AAA"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مؤشر فعالية الترويج للنساء</w:t>
            </w:r>
          </w:p>
        </w:tc>
        <w:tc>
          <w:tcPr>
            <w:tcW w:w="7380" w:type="dxa"/>
            <w:tcBorders>
              <w:top w:val="single" w:sz="4" w:space="0" w:color="auto"/>
              <w:left w:val="single" w:sz="4" w:space="0" w:color="auto"/>
              <w:bottom w:val="single" w:sz="4" w:space="0" w:color="auto"/>
              <w:right w:val="single" w:sz="4" w:space="0" w:color="auto"/>
            </w:tcBorders>
          </w:tcPr>
          <w:p w14:paraId="6BBBFF13"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نسبة الزيادة في عدد النساء المتقدمات للوظائف بفضل جهود الترويج والإعلانات المستهدفة.</w:t>
            </w:r>
          </w:p>
        </w:tc>
      </w:tr>
      <w:tr w:rsidR="00546AB0" w:rsidRPr="002D03D4" w14:paraId="3E18D2C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CFEA96" w14:textId="77777777" w:rsidR="00546AB0" w:rsidRPr="002D03D4" w:rsidRDefault="00546AB0" w:rsidP="00F252BD">
            <w:pPr>
              <w:rPr>
                <w:rFonts w:ascii="Sakkal Majalla" w:eastAsia="Times New Roman" w:hAnsi="Sakkal Majalla" w:cs="Sakkal Majalla"/>
                <w:color w:val="000000"/>
                <w:kern w:val="0"/>
                <w:rtl/>
                <w14:ligatures w14:val="none"/>
              </w:rPr>
            </w:pPr>
            <w:r w:rsidRPr="002D03D4">
              <w:rPr>
                <w:rFonts w:ascii="Sakkal Majalla" w:eastAsia="Times New Roman" w:hAnsi="Sakkal Majalla" w:cs="Sakkal Majalla"/>
                <w:color w:val="000000"/>
                <w:kern w:val="0"/>
                <w:rtl/>
                <w14:ligatures w14:val="none"/>
              </w:rPr>
              <w:t>6</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677DD1" w14:textId="77777777" w:rsidR="00546AB0" w:rsidRPr="002D03D4" w:rsidRDefault="00546AB0" w:rsidP="00F252BD">
            <w:pPr>
              <w:jc w:val="left"/>
              <w:rPr>
                <w:rFonts w:ascii="Sakkal Majalla" w:hAnsi="Sakkal Majalla" w:cs="Sakkal Majalla"/>
                <w:rtl/>
              </w:rPr>
            </w:pPr>
            <w:r w:rsidRPr="002D03D4">
              <w:rPr>
                <w:rFonts w:ascii="Sakkal Majalla" w:hAnsi="Sakkal Majalla" w:cs="Sakkal Majalla"/>
                <w:rtl/>
              </w:rPr>
              <w:t>مؤشر توازن الجنس في اللجان التقييمية</w:t>
            </w:r>
          </w:p>
        </w:tc>
        <w:tc>
          <w:tcPr>
            <w:tcW w:w="7380" w:type="dxa"/>
            <w:tcBorders>
              <w:top w:val="single" w:sz="4" w:space="0" w:color="auto"/>
              <w:left w:val="single" w:sz="4" w:space="0" w:color="auto"/>
              <w:bottom w:val="single" w:sz="4" w:space="0" w:color="auto"/>
              <w:right w:val="single" w:sz="4" w:space="0" w:color="auto"/>
            </w:tcBorders>
          </w:tcPr>
          <w:p w14:paraId="4052A88C" w14:textId="77777777" w:rsidR="00546AB0" w:rsidRPr="002D03D4" w:rsidRDefault="00546AB0" w:rsidP="00F252BD">
            <w:pPr>
              <w:rPr>
                <w:rFonts w:ascii="Sakkal Majalla" w:hAnsi="Sakkal Majalla" w:cs="Sakkal Majalla"/>
                <w:rtl/>
              </w:rPr>
            </w:pPr>
            <w:r w:rsidRPr="002D03D4">
              <w:rPr>
                <w:rFonts w:ascii="Sakkal Majalla" w:hAnsi="Sakkal Majalla" w:cs="Sakkal Majalla"/>
                <w:rtl/>
              </w:rPr>
              <w:t>تقييم مدى توازن الجنسين في اللجان التي تقوم بتقييم المرشحين، مع التأكيد على تمثيل النساء بشكل مناسب.</w:t>
            </w:r>
          </w:p>
        </w:tc>
      </w:tr>
    </w:tbl>
    <w:p w14:paraId="5FC17C50" w14:textId="77777777" w:rsidR="00291176" w:rsidRPr="002D03D4" w:rsidRDefault="00291176" w:rsidP="002D03D4">
      <w:pPr>
        <w:rPr>
          <w:rFonts w:ascii="Sakkal Majalla" w:hAnsi="Sakkal Majalla" w:cs="Sakkal Majalla"/>
        </w:rPr>
      </w:pPr>
    </w:p>
    <w:sectPr w:rsidR="00291176" w:rsidRPr="002D03D4" w:rsidSect="002D03D4">
      <w:headerReference w:type="default" r:id="rId11"/>
      <w:footerReference w:type="default" r:id="rId12"/>
      <w:headerReference w:type="first" r:id="rId13"/>
      <w:pgSz w:w="12240" w:h="15840" w:code="1"/>
      <w:pgMar w:top="234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E81AC" w14:textId="77777777" w:rsidR="00C27A4B" w:rsidRDefault="00C27A4B" w:rsidP="001F31FC">
      <w:pPr>
        <w:spacing w:after="0" w:line="240" w:lineRule="auto"/>
      </w:pPr>
      <w:r>
        <w:separator/>
      </w:r>
    </w:p>
  </w:endnote>
  <w:endnote w:type="continuationSeparator" w:id="0">
    <w:p w14:paraId="7F6F6870" w14:textId="77777777" w:rsidR="00C27A4B" w:rsidRDefault="00C27A4B" w:rsidP="001F31FC">
      <w:pPr>
        <w:spacing w:after="0" w:line="240" w:lineRule="auto"/>
      </w:pPr>
      <w:r>
        <w:continuationSeparator/>
      </w:r>
    </w:p>
  </w:endnote>
  <w:endnote w:type="continuationNotice" w:id="1">
    <w:p w14:paraId="4492C7CA" w14:textId="77777777" w:rsidR="00C27A4B" w:rsidRDefault="00C27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81645" w14:textId="77777777" w:rsidR="00C27A4B" w:rsidRDefault="00C27A4B" w:rsidP="001F31FC">
      <w:pPr>
        <w:spacing w:after="0" w:line="240" w:lineRule="auto"/>
      </w:pPr>
      <w:r>
        <w:separator/>
      </w:r>
    </w:p>
  </w:footnote>
  <w:footnote w:type="continuationSeparator" w:id="0">
    <w:p w14:paraId="3B1941AF" w14:textId="77777777" w:rsidR="00C27A4B" w:rsidRDefault="00C27A4B" w:rsidP="001F31FC">
      <w:pPr>
        <w:spacing w:after="0" w:line="240" w:lineRule="auto"/>
      </w:pPr>
      <w:r>
        <w:continuationSeparator/>
      </w:r>
    </w:p>
  </w:footnote>
  <w:footnote w:type="continuationNotice" w:id="1">
    <w:p w14:paraId="4D81E03E" w14:textId="77777777" w:rsidR="00C27A4B" w:rsidRDefault="00C27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10C50F6A" w:rsidR="005227C8" w:rsidRDefault="002D03D4" w:rsidP="002D03D4">
    <w:pPr>
      <w:pStyle w:val="Header"/>
      <w:jc w:val="right"/>
    </w:pPr>
    <w:r>
      <w:rPr>
        <w:noProof/>
      </w:rPr>
      <w:drawing>
        <wp:inline distT="0" distB="0" distL="0" distR="0" wp14:anchorId="72ED066F" wp14:editId="0A1CC19F">
          <wp:extent cx="1599470" cy="835034"/>
          <wp:effectExtent l="0" t="0" r="1270" b="3175"/>
          <wp:docPr id="1715470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319D06A8" w:rsidR="005227C8" w:rsidRPr="005227C8" w:rsidRDefault="002D03D4" w:rsidP="002D03D4">
    <w:pPr>
      <w:pStyle w:val="Header"/>
      <w:jc w:val="right"/>
    </w:pPr>
    <w:r>
      <w:rPr>
        <w:noProof/>
      </w:rPr>
      <w:drawing>
        <wp:inline distT="0" distB="0" distL="0" distR="0" wp14:anchorId="70151A1E" wp14:editId="7497EEDA">
          <wp:extent cx="1599470" cy="835034"/>
          <wp:effectExtent l="0" t="0" r="1270" b="3175"/>
          <wp:docPr id="1305619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E77C8"/>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5724E"/>
    <w:rsid w:val="00161F40"/>
    <w:rsid w:val="00163986"/>
    <w:rsid w:val="0017475E"/>
    <w:rsid w:val="001763FF"/>
    <w:rsid w:val="00177671"/>
    <w:rsid w:val="00181EAF"/>
    <w:rsid w:val="001825B5"/>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03D4"/>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36952"/>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2094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125B"/>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1871"/>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017E"/>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B7529"/>
    <w:rsid w:val="009C00DF"/>
    <w:rsid w:val="009C13D6"/>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27A4B"/>
    <w:rsid w:val="00C3244F"/>
    <w:rsid w:val="00C35A2A"/>
    <w:rsid w:val="00C35F32"/>
    <w:rsid w:val="00C3649B"/>
    <w:rsid w:val="00C37525"/>
    <w:rsid w:val="00C442EE"/>
    <w:rsid w:val="00C5099D"/>
    <w:rsid w:val="00C60D8F"/>
    <w:rsid w:val="00C63575"/>
    <w:rsid w:val="00C648C5"/>
    <w:rsid w:val="00C64F55"/>
    <w:rsid w:val="00C66DF3"/>
    <w:rsid w:val="00C70DBD"/>
    <w:rsid w:val="00C7273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66B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236D5"/>
    <w:rsid w:val="00F252BD"/>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508F9"/>
    <w:rsid w:val="00170B39"/>
    <w:rsid w:val="001763FF"/>
    <w:rsid w:val="00182DDD"/>
    <w:rsid w:val="001A44C4"/>
    <w:rsid w:val="001B2AC3"/>
    <w:rsid w:val="001B3CE5"/>
    <w:rsid w:val="001D42A6"/>
    <w:rsid w:val="001F6FFB"/>
    <w:rsid w:val="00225573"/>
    <w:rsid w:val="00231BBE"/>
    <w:rsid w:val="00235797"/>
    <w:rsid w:val="00243A59"/>
    <w:rsid w:val="002452D8"/>
    <w:rsid w:val="0025578C"/>
    <w:rsid w:val="00282A22"/>
    <w:rsid w:val="002C24DA"/>
    <w:rsid w:val="002D52E6"/>
    <w:rsid w:val="00300F3F"/>
    <w:rsid w:val="00313951"/>
    <w:rsid w:val="00332820"/>
    <w:rsid w:val="00335713"/>
    <w:rsid w:val="003506C1"/>
    <w:rsid w:val="0038283B"/>
    <w:rsid w:val="00387246"/>
    <w:rsid w:val="00390B6E"/>
    <w:rsid w:val="003B40B3"/>
    <w:rsid w:val="0041683A"/>
    <w:rsid w:val="004307B4"/>
    <w:rsid w:val="0045267D"/>
    <w:rsid w:val="00490D1A"/>
    <w:rsid w:val="00491FA3"/>
    <w:rsid w:val="004B4289"/>
    <w:rsid w:val="004E3B57"/>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2030"/>
    <w:rsid w:val="00887FF3"/>
    <w:rsid w:val="008A291D"/>
    <w:rsid w:val="008B3A19"/>
    <w:rsid w:val="008D5CF1"/>
    <w:rsid w:val="00910389"/>
    <w:rsid w:val="0092017E"/>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BF3ABA"/>
    <w:rsid w:val="00C3244F"/>
    <w:rsid w:val="00C648C5"/>
    <w:rsid w:val="00C7273D"/>
    <w:rsid w:val="00C869D0"/>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C35F0"/>
    <w:rsid w:val="00F209DB"/>
    <w:rsid w:val="00F41292"/>
    <w:rsid w:val="00F635F2"/>
    <w:rsid w:val="00F706CA"/>
    <w:rsid w:val="00F81034"/>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3.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المساواة في فرص التوظيف</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11</cp:revision>
  <dcterms:created xsi:type="dcterms:W3CDTF">2024-09-13T04:11:00Z</dcterms:created>
  <dcterms:modified xsi:type="dcterms:W3CDTF">2025-10-16T08:01:00Z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